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168</w:t>
      </w:r>
    </w:p>
    <w:p>
      <w:r>
        <w:t>Bundesgericht (BGE), 2002-12-17, DE</w:t>
      </w:r>
    </w:p>
    <w:p>
      <w:r>
        <w:rPr>
          <w:b/>
        </w:rPr>
        <w:t xml:space="preserve">Quelle: </w:t>
      </w:r>
      <w:r>
        <w:t>https://mcp.opencaselaw.ch/entscheid/bge_129 II 168</w:t>
      </w:r>
    </w:p>
    <w:p>
      <w:r>
        <w:t>FR: ATF 129 II 168</w:t>
      </w:r>
    </w:p>
    <w:p>
      <w:r>
        <w:t>IT: DTF 129 II 168</w:t>
      </w:r>
    </w:p>
    <w:p>
      <w:pPr>
        <w:pStyle w:val="Heading2"/>
      </w:pPr>
      <w:r>
        <w:t>Regeste</w:t>
      </w:r>
    </w:p>
    <w:p>
      <w:r>
        <w:t>Regeste Art. 16 und 17 SVG, Art. 30 Abs. 4 VZV; Warnungsentzug des Führerausweises nach Verkehrsdelikt im Ausland. Der Warnungsentzug des Führerausweises nach Verkehrsdelikten im Ausland ist zulässig, wenn die Fahrberechtigung auch vom Tatortstaat entzogen wird. Entzieht die schweizerische Behörde den Führerausweis, so hat sich ihr Entscheid nach schweizerischem Recht zu richten; insbesondere ist eine allfällige gesetzliche Mindestentzugsdauer verbindlich (E. 2). Kann der Vollzug der beiden Massnahmen nicht koordiniert werden und ist die ausländische Massnahme bereits vollzogen, wenn der Warnungsentzug in der Schweiz angeordnet wird, so hat die zuständige Behörde bei der Bemessung der Entzugsdauer der ausländischen Massnahme angemessen Rechnung zu tragen (E. 6).</w:t>
      </w:r>
    </w:p>
    <w:p>
      <w:pPr>
        <w:pStyle w:val="Heading2"/>
      </w:pPr>
      <w:r>
        <w:t>Erwägungen</w:t>
      </w:r>
    </w:p>
    <w:p>
      <w:r>
        <w:rPr>
          <w:b/>
        </w:rPr>
        <w:t>E. 2</w:t>
      </w:r>
    </w:p>
    <w:p>
      <w:r>
        <w:t>Der Beschwerdeführer wendet sodann unter Berufung auf die neueste Rechtsprechung ein, die kantonale Behörde dürfe die ausländische Massnahme höchstens nachvollziehen, also den Ausweis nicht für eine längere Dauer entziehen, als es die Behörde des Tatortstaates getan habe.</w:t>
      </w:r>
    </w:p>
    <w:p>
      <w:r>
        <w:rPr>
          <w:b/>
        </w:rPr>
        <w:t>E. 2.1</w:t>
      </w:r>
    </w:p>
    <w:p>
      <w:r>
        <w:t>In Abänderung der bis dahin geltenden Praxis zum Warnungsentzug hat das Bundesgericht kürzlich erkannt, der schweizerische Führerausweis dürfe wegen einer Auslandtat nur noch entzogen werden, wenn auch der Tatortstaat die Fahrberechtigung für sein Staatsgebiet entzogen hat. Das Bundesgericht änderte die Rechtsprechung im Wesentlichen wegen der Absicht des Bundesrates, das schweizerische Recht in Sachen Führerausweis mit dem europäischen zu harmonisieren. Es wies in diesem Zusammenhang auf das Übereinkommen der Europäischen Union vom 17. Juni 1998 über den Entzug der Fahrerlaubnis hin, welches folgende Grundregel statuiert: Die durch europäische Drittstaaten als Tatortstaaten verfügten Führerausweisentzüge können und sollen durch den Wohnsitzstaat übernommen oder gerichtlich nachvollzogen werden, der Wohnsitzstaat darf jedoch mit der von ihm verfügten Massnahme nicht über das Sanktionsmass hinausgehen, das vom Tatortstaat festgesetzt worden ist ( BGE 128 II 133 E. 4d). BGE 129 II 168 S. 171 Das Bundesgericht hat im Sinne einer Harmonisierung mit den Nachbarländern und zur Vermeidung einer in Europa singulären Praxis festgehalten, "dass der schweizerische Nachvollzug einer vom Ausland verfügten Massnahme durch die Art der ausländischen Massnahme begrenzt wird; der schweizerische Führerausweis darf deshalb nur noch entzogen werden, wenn auch der Tatortstaat die Fahrberechtigung für sein Staatsgebiet entzogen hat". Mehr hatte das Bundesgericht nicht zu entscheiden. Insbesondere war nicht die Frage zu beantworten, ob und inwiefern die Dauer eines vom Tatortstaat verfügten Entzuges der Fahrberechtigung bei der Festsetzung der Dauer des schweizerischen Führerausweisentzugs zu berücksichtigen ist. Die Frage stellt sich auch vorliegend nicht.</w:t>
      </w:r>
    </w:p>
    <w:p>
      <w:r>
        <w:rPr>
          <w:b/>
        </w:rPr>
        <w:t>E. 2.2</w:t>
      </w:r>
    </w:p>
    <w:p>
      <w:r>
        <w:t>Das erwähnte europäische Übereinkommen gilt für die Schweiz nicht. Der Beschwerdeführer kann aus diesem Übereinkommen folglich nichts zu seinen Gunsten ableiten. Die durch BGE 128 II 133 eingeleitete Änderung der Rechtsprechung hat nicht zur Folge, dass im Falle, in welchem der Tatortstaat die Fahrberechtigung entzieht, die Dauer des Entzuges in der Schweiz durch die Dauer der ausländischen Massnahme begrenzt wird. Entziehen schweizerische Behörden einem in der Schweiz wohnhaften Fahrzeuglenker den Führerausweis, so haben sie dies ausschliesslich in Anwendung schweizerischen Rechtes zu tun. Dieses kennt jedoch keine Norm, die es erlaubte, in Fällen von Auslandtaten von der allgemeinen gesetzlichen Ordnung abzuweichen. Es sind beim Nachvollzug somit die schweizerischen Bestimmungen über die Festsetzung der Dauer und insbesondere jene über die Mindestdauer des Entzuges zu beachten. Anlässlich der letzten Revision des Strassenverkehrsgesetzes vom 14. Dezember 2001 (AS 2002 S. 2767) sind im Übrigen die Vorschriften über die Mindestentzugsdauer verschärft worden, und der Gesetzgeber hat ausdrücklich festgehalten, dass diese nicht unterschritten werden darf (Art. 16 Abs. 3 nSVG). Würde die gesetzliche Mindestentzugsdauer beim Nachvollzug einer ausländischen Massnahme nicht beachtet, widerspräche dies dem klaren Willen des Gesetzgebers. Die Vorinstanz hat auf die in Art. 17 Abs. 1 lit. d SVG festgelegte Mindestentzugsdauer von zwölf Monaten bei Rückfall innert fünf Jahren abgestellt. Damit hat sie kein Bundesrecht verletzt. (...)</w:t>
      </w:r>
    </w:p>
    <w:p>
      <w:r>
        <w:rPr>
          <w:b/>
        </w:rPr>
        <w:t>E. 6</w:t>
      </w:r>
    </w:p>
    <w:p>
      <w:r>
        <w:t>Der Beschwerdeführer macht schliesslich geltend, der Führerausweisentzug führe mangels Koordination zwischen den österreichischen und den schweizerischen Behörden im Ergebnis zu einer BGE 129 II 168 S. 172 Doppelbestrafung. Ein Entzug in der Schweiz sei deshalb solange unstatthaft, als nicht ein Mittel bestehe, um ihm gleichzeitig das legale Fahren im Ausland zu ermöglichen. In diesem Zusammenhang schlägt das ASTRA vor, den Ausweisentzug auf elf Monate zu begrenzen, um dem Umstand Rechnung zu tragen, dass der Ausweisentzug in der Schweiz dem Beschwerdeführer auch das Führen eines Fahrzeugs in Österreich verbietet, obwohl er dort bereits während eines Monats nicht habe fahren dürfen.</w:t>
      </w:r>
    </w:p>
    <w:p>
      <w:r>
        <w:rPr>
          <w:b/>
        </w:rPr>
        <w:t>E. 6.1</w:t>
      </w:r>
    </w:p>
    <w:p>
      <w:r>
        <w:t>Derjenige, dem der schweizerische und, gestützt auf Art. 45 Abs. 2 der Verordnung vom 27. Oktober 1976 über die Zulassung von Personen und Fahrzeugen zum Strassenverkehr (VZV; SR 741.51) , gleichzeitig ein allfälliger ausländischer Führerausweis entzogen wird, besitzt nicht nur in der Schweiz, sondern auch im Ausland während der Entzugsdauer keine Fahrerlaubnis mehr. War ihm aber wegen einer Auslandtat die Fahrerlaubnis im entsprechenden Staat bereits entzogen worden, so führt der nachträgliche Entzug des schweizerischen Führerausweises zu einem weiteren Fahrverbot in jenem Staat. In einem unveröffentlichten Entscheid, auf den sich der Beschwerdeführer beruft, hat das Bundesgericht erkannt, eine derartige Sanktion verstosse gegen den Grundsatz "ne bis in idem", weil die Auslandtat im entsprechenden Staat endgültig abgeurteilt worden sei und für dessen Gebiet deshalb keine neuerliche Sanktion verhängt werden dürfe. Es hat daraus geschlossen, die Entzugsbehörde habe, um eine derartige Folge zu vermeiden, von Amtes wegen einen örtlich differenzierten Entzug auszusprechen. Dem Fahrzeuglenker sei deshalb zusammen mit dem Entzug des schweizerischen (und eines allfälligen ausländischen) Führerausweises für die Entzugsdauer eine Fahrerlaubnis für den Staat auszustellen, in dem wegen desselben Ereignisses ein Entzug bereits vollzogen worden sei (Urteil 6A.104/1996 vom 17. Februar 1997, E. 3c). Daran hat sich das in erster Instanz verfügende Amt gehalten. Es hielt in der Entzugsverfügung fest: "Damit ist Ihnen für die genannte Dauer das Recht aberkannt, in der Schweiz und im Fürstentum Liechtenstein ein Motorfahrzeug zu führen. Es steht Ihnen frei, gegen Bezahlung einer Gebühr einen internationalen Führerausweis zu beantragen." Der Beschwerdeführer hat diese Anordnung im kantonalen Rekursverfahren angefochten. Er berief sich auf ein Urteil des Verwaltungsgerichtes Basel-Landschaft vom 30. Januar 2001, in welchem die Stellungnahme einer deutschen Amtsstelle wiedergegeben BGE 129 II 168 S. 173 wird. Dort heisst es, ein internationaler Führerausweis berechtige nur denjenigen zum Führen eines Motorfahrzeugs, der auch im Besitz eines nationalen Ausweises sei; fehle dieser, sei in Deutschland mit einem Strafverfahren und der Beschlagnahme des Fahrzeugs zu rechnen. Auf diesen Einwand ist die Vorinstanz nicht explizit eingegangen.</w:t>
      </w:r>
    </w:p>
    <w:p>
      <w:r>
        <w:rPr>
          <w:b/>
        </w:rPr>
        <w:t>E. 6.2</w:t>
      </w:r>
    </w:p>
    <w:p>
      <w:r>
        <w:t>Internationale Führerausweise dürfen nur Inhabern schweizerischer oder ausländischer Ausweise erteilt werden ( Art. 46 Abs. 1 VZV ). Wird ein nationaler Führerausweis entzogen oder aberkannt, so ist für die Dauer der Massnahme auch ein allfälliger internationaler Führerausweis zu entziehen ( Art. 46 Abs. 4 VZV ); auf dem Ausweis ist ein entsprechender Eintrag vorzunehmen ( Art. 45 Abs. 3 VZV ). Diese Regelung des schweizerischen Rechts entspricht Art. 41 Ziff. 6 des Übereinkommens über den Strassenverkehr vom 8. November 1968 (SR 0.741.10), welcher vorsieht, dass ein internationaler Führerausweis nur dem Inhaber eines nationalen Führerausweises ausgestellt werden darf und dass dessen Gültigkeitsdauer nicht über die entsprechende Dauer des nationalen Führerausweises hinausgehen darf. Die vom Bundesgericht im obgenannten unveröffentlichten Entscheid angeregte Erteilung eines internationalen Führerausweises erweist sich damit als nicht praktikabel. In diesem Punkt muss vom Entscheid abgerückt werden. Vom genannten Entscheid ist das Bundesgericht im Übrigen schon in einem andern Punkt abgewichen. Es hat erkannt, dass sich der Grundsatz "ne bis in idem" nur auf die strafrechtliche Verfolgung von Delikten bezieht und deshalb auf die vom Tatort- und vom Wohnsitzstaat ausgesprochenen Administrativmassnahmen nicht anwendbar ist. Gleichzeitig hat es aber bekräftigt, dass die auf Grund der bestehenden Doppelspurigkeit angeordneten Massnahmen in ihrer Gesamtheit schuldangemessen sein müssen und nicht zu einer verkappten Doppelbestrafung führen dürfen ( BGE 128 II 133 E. 3b/bb).</w:t>
      </w:r>
    </w:p>
    <w:p>
      <w:r>
        <w:rPr>
          <w:b/>
        </w:rPr>
        <w:t>E. 6.3</w:t>
      </w:r>
    </w:p>
    <w:p>
      <w:r>
        <w:t>Die Rechtsprechung hat verschiedentlich den strafähnlichen Charakter des Warnungsentzugs erwähnt und aus diesem Grund dort, wo die gesetzliche Regelung des Warnungsentzuges lückenhaft ist, auf strafrechtliche Grundsätze zurückgegriffen (vgl. BGE 128 II 285 E. 2.4 in fine). Bei Straftaten mit internationalem Bezug können unter Umständen mehrere Strafrechtsordnungen anwendbar sein und der Täter kann wegen derselben Tat sowohl im Ausland wie in der Schweiz BGE 129 II 168 S. 174 strafrechtlich verurteilt werden. Eine derartige Doppelbestrafung verstösst nach allgemeiner Ansicht nicht gegen den Grundsatz "ne bis in idem", sie kann im Ergebnis aber unbillig sein. Um unbillige Folgen zu vermeiden, sieht das schweizerische Strafrecht die Anrechnung der ausländischen Strafe vor (vgl. Art. 3 Ziff. 1 Abs. 2 StGB ; BGE 114 IV 83 E. 1). In gleicher Weise ist die Anrechnung des ausländischen Entzugs der Fahrerlaubnis geeignet, im Ergebnis eine doppelte Sanktionierung auf administrativem Gebiet zu vermeiden. Die schweizerische Entzugsbehörde hat demzufolge die schon vollstreckte ausländische Massnahme anzurechnen und die Dauer des Entzuges des nationalen Führerausweises so festzusetzen, dass dieser Entzug und die ausländische Massnahme zusammen nicht strenger erscheinen als der Entzug des nationalen Ausweises, der ausgesprochen worden wäre, wenn die Anlasstat in der Schweiz begangen worden wäre. Wie hierbei der Entzug der Fahrberechtigung im fremden Staat zu gewichten ist, hängt von den Umständen des Einzelfalles ab, namentlich davon, ob der Betroffene in diesem Staat ein Fahrzeug selten oder häufig führt und ob ihn deshalb die ausländische Massnahme während der entsprechenden Zeit nur in geringem oder in starkem Masse einschränkte.</w:t>
      </w:r>
    </w:p>
    <w:p>
      <w:r>
        <w:rPr>
          <w:b/>
        </w:rPr>
        <w:t>E. 6.4</w:t>
      </w:r>
    </w:p>
    <w:p>
      <w:r>
        <w:t>Das ASTRA schlägt vor, die in der Schweiz an sich auszusprechende Entzugsdauer von zwölf Monaten um einen Monat herabzusetzen, um so dem einmonatigen Entzug der Fahrerlaubnis in Österreich Rechnung zu tragen. Dies würde sich rechtfertigen, wenn der Beschwerdeführer fast ausschliesslich in Österreich führe. Dem ist aber nicht so. Aus dem angefochtenen Urteil ergibt sich vielmehr, dass sein Arbeitsort im Fürstentum Liechtenstein liegt, dass er mit dem Fahrzeug Kunden in der Schweiz aufsucht, dass sich sein gesetzlicher Wohnsitz in der Schweiz befindet und dass er in Österreich das Fahrzeug nur zu privaten Zwecken braucht. Die Rückweisung der Sache an die Vorinstanz zwecks weiterer Abklärungen drängt sich angesichts der feststehenden Tatsachen und des zu treffenden Entscheids nicht auf. Der Beschwerdeführer benutzt sein Fahrzeug für seine berufliche Tätigkeit vorwiegend ausserhalb Österreichs, und er hat auch seinen Wohnsitz ausserhalb dieses Landes. Die Einschränkung in privaten, wenn auch regelmässigen Tätigkeiten in Österreich hat damit verhältnismässig wenig Gewicht. Unter diesen Umständen ist die Verkürzung des schweizerischen Führerausweisentzugs um einen halben Monat jedenfalls hinreichend, um dem bereits vollzogenen einmonatigen Entzug der Fahrberechtigung in Österreich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